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D4" w:rsidRPr="004974D4" w:rsidRDefault="004974D4" w:rsidP="00497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</w:pPr>
      <w:r w:rsidRPr="004974D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 xml:space="preserve">Les plans d'eau </w:t>
      </w:r>
    </w:p>
    <w:p w:rsidR="004974D4" w:rsidRPr="004974D4" w:rsidRDefault="004974D4" w:rsidP="0049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>In semi-arid regions, the surface water can be discriminated with standard Spot/VGT S10 data because of the contrast between water and dry soil [Gond et al, 2004].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les régions semi-arides, l'eau de surface peuvent être distingués à la norme Spot / données VGT S10 à cause du contraste entre l'eau et un sol sec [Gond et al, 2004]. </w:t>
      </w: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 xml:space="preserve">The </w:t>
      </w:r>
      <w:r w:rsidRPr="004974D4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fr-FR"/>
        </w:rPr>
        <w:t>waterbodies detection products</w:t>
      </w: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 xml:space="preserve"> generated by VITO in the framework of Geosuccess from a methodology developed at JRC (Gond &amp; al 2004), indicate free water, humid area and mix of free water and humid area.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</w:t>
      </w:r>
      <w:r w:rsidRPr="00497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détection des produits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générés par </w:t>
      </w:r>
      <w:r w:rsidRPr="00497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les plans d'eau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VITO dans le cadre de GEOSUCCESS à partir d'une méthodologie développée au CCR (Gond et al 2004), indiquer l'eau libre, zone humide et mélanger de l'eau libre et la zone humide. </w:t>
      </w:r>
    </w:p>
    <w:p w:rsidR="004974D4" w:rsidRPr="004974D4" w:rsidRDefault="004974D4" w:rsidP="0049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>Although Spot/VGT provides images with a 1-km resolution, it was demonstrated that it is sufficient to accurately map and monitor the presence of water in ponds and swamps of about 1 km² in size.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Bien que Spot / VGT fournit des images avec une résolution de 1 km, il a été démontré qu'il est suffisant pour cartographier avec précision et de surveiller la présence d'eau dans les étangs et les marais d'environ 1 km ². </w:t>
      </w: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>The accuracy obtained is in the order of 90%, ie 90% of the water bodies detected with the method over an area of 1 million km² were found to be correct.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précision obtenue est de l'ordre de 90%, soit 90% des masses d'eau détectées par la méthode sur une superficie de 1 million de km ² ont été jugées correctes. </w:t>
      </w:r>
    </w:p>
    <w:p w:rsidR="004974D4" w:rsidRPr="004974D4" w:rsidRDefault="004974D4" w:rsidP="0049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>From these data sets, two main products are developed at JRC within GEOLAND OLF: to provide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partir de ces ensembles de données, deux produits principaux sont développés au sein du CCR GEOLAND OLF: fournir </w:t>
      </w:r>
    </w:p>
    <w:p w:rsidR="004974D4" w:rsidRPr="004974D4" w:rsidRDefault="004974D4" w:rsidP="004974D4">
      <w:pPr>
        <w:numPr>
          <w:ilvl w:val="0"/>
          <w:numId w:val="1"/>
        </w:numPr>
        <w:spacing w:before="100" w:beforeAutospacing="1" w:after="100" w:afterAutospacing="1" w:line="240" w:lineRule="auto"/>
        <w:ind w:left="4223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>the date for start of replenishment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date du début de la reconstitution </w:t>
      </w:r>
    </w:p>
    <w:p w:rsidR="004974D4" w:rsidRPr="004974D4" w:rsidRDefault="004974D4" w:rsidP="004974D4">
      <w:pPr>
        <w:numPr>
          <w:ilvl w:val="0"/>
          <w:numId w:val="1"/>
        </w:numPr>
        <w:spacing w:before="100" w:beforeAutospacing="1" w:after="100" w:afterAutospacing="1" w:line="240" w:lineRule="auto"/>
        <w:ind w:left="4223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>the end of draining/evaporation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fin de la vidange / évaporation </w:t>
      </w:r>
    </w:p>
    <w:p w:rsidR="004974D4" w:rsidRPr="004974D4" w:rsidRDefault="004974D4" w:rsidP="0049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>A validation mask is also delivered to the user.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masque de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alidation est également délivré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l'utilisateur. </w:t>
      </w: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>It helps the user to discard the remaining noise in the water bodies detection.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aide l'utilisateur à jeter le bruit restant dans les plans d'eau de la détection. </w:t>
      </w: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>This mask is built on GLWD (Global Lakes and Wetlands database) and the analysis of historical occurence of detection in the VGT images.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masque est construit sur GLWD (Global Lacs et base de données des zones humides) et l'analyse de l'événement historique de détection dans les images VGT. </w:t>
      </w: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>Because this validation mask is manually checked, it is proposed on a restricted area in a first step, and will be updated to a larger extent in next steps.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Parce que ce masque de validation est </w:t>
      </w:r>
      <w:proofErr w:type="gramStart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vérifiée</w:t>
      </w:r>
      <w:proofErr w:type="gramEnd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manuellement, il est proposé sur une zone d'accès restreint dans un premier temps, et sera mis à jour dans une large mesure dans les prochaines étapes.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1"/>
        <w:gridCol w:w="6175"/>
      </w:tblGrid>
      <w:tr w:rsidR="004974D4" w:rsidRPr="004974D4" w:rsidTr="004974D4">
        <w:trPr>
          <w:tblCellSpacing w:w="15" w:type="dxa"/>
          <w:hidden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fr-FR"/>
              </w:rPr>
              <w:t>Properties</w:t>
            </w:r>
            <w:r w:rsidRPr="004974D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  <w:t xml:space="preserve"> of the </w:t>
            </w:r>
            <w:r w:rsidRPr="004974D4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fr-FR"/>
              </w:rPr>
              <w:t>Waterbodies</w:t>
            </w:r>
            <w:r w:rsidRPr="004974D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  <w:t xml:space="preserve"> product</w:t>
            </w:r>
            <w:r w:rsidRPr="00497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49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Propriétés</w:t>
            </w:r>
            <w:r w:rsidRPr="00497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du produit </w:t>
            </w:r>
            <w:r w:rsidRPr="0049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 masses d'eau</w:t>
            </w:r>
            <w:r w:rsidRPr="00497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974D4" w:rsidRPr="004974D4" w:rsidTr="004974D4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b/>
                <w:bCs/>
                <w:vanish/>
                <w:color w:val="666666"/>
                <w:sz w:val="24"/>
                <w:szCs w:val="24"/>
                <w:lang w:eastAsia="fr-FR"/>
              </w:rPr>
              <w:t>Spatial resolution</w:t>
            </w:r>
            <w:r w:rsidRPr="004974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  <w:t xml:space="preserve"> La résolution spatiale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  <w:t>1/112 degree</w:t>
            </w:r>
            <w:r w:rsidRPr="00497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/ 112 degré </w:t>
            </w:r>
          </w:p>
        </w:tc>
      </w:tr>
      <w:tr w:rsidR="004974D4" w:rsidRPr="004974D4" w:rsidTr="004974D4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b/>
                <w:bCs/>
                <w:vanish/>
                <w:color w:val="666666"/>
                <w:sz w:val="24"/>
                <w:szCs w:val="24"/>
                <w:lang w:eastAsia="fr-FR"/>
              </w:rPr>
              <w:t>Geolocation accuracy</w:t>
            </w:r>
            <w:r w:rsidRPr="004974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  <w:t xml:space="preserve"> la précision de </w:t>
            </w:r>
            <w:proofErr w:type="spellStart"/>
            <w:r w:rsidRPr="004974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  <w:t>géolocalisation</w:t>
            </w:r>
            <w:proofErr w:type="spellEnd"/>
            <w:r w:rsidRPr="004974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  <w:t>300m</w:t>
            </w:r>
            <w:r w:rsidRPr="00497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300m </w:t>
            </w:r>
          </w:p>
        </w:tc>
      </w:tr>
      <w:tr w:rsidR="004974D4" w:rsidRPr="004974D4" w:rsidTr="004974D4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b/>
                <w:bCs/>
                <w:vanish/>
                <w:color w:val="666666"/>
                <w:sz w:val="24"/>
                <w:szCs w:val="24"/>
                <w:lang w:eastAsia="fr-FR"/>
              </w:rPr>
              <w:t>Projection</w:t>
            </w:r>
            <w:r w:rsidRPr="004974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  <w:t xml:space="preserve"> Projection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  <w:t>Geographic WGS84</w:t>
            </w:r>
            <w:r w:rsidRPr="00497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Géographiques WGS84 </w:t>
            </w:r>
          </w:p>
        </w:tc>
      </w:tr>
      <w:tr w:rsidR="004974D4" w:rsidRPr="004974D4" w:rsidTr="004974D4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b/>
                <w:bCs/>
                <w:vanish/>
                <w:color w:val="666666"/>
                <w:sz w:val="24"/>
                <w:szCs w:val="24"/>
                <w:lang w:eastAsia="fr-FR"/>
              </w:rPr>
              <w:t>Product accuracy</w:t>
            </w:r>
            <w:r w:rsidRPr="004974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  <w:t xml:space="preserve"> l'exactitude du produit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  <w:t>better than 90%</w:t>
            </w:r>
            <w:r w:rsidRPr="00497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plus de 90% </w:t>
            </w:r>
          </w:p>
        </w:tc>
      </w:tr>
      <w:tr w:rsidR="004974D4" w:rsidRPr="004974D4" w:rsidTr="004974D4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b/>
                <w:bCs/>
                <w:vanish/>
                <w:color w:val="666666"/>
                <w:sz w:val="24"/>
                <w:szCs w:val="24"/>
                <w:lang w:eastAsia="fr-FR"/>
              </w:rPr>
              <w:t>Frequency delivery</w:t>
            </w:r>
            <w:r w:rsidRPr="004974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  <w:t xml:space="preserve"> Fréquence de livraison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  <w:t>10 days</w:t>
            </w:r>
            <w:r w:rsidRPr="00497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 jours </w:t>
            </w:r>
          </w:p>
        </w:tc>
      </w:tr>
      <w:tr w:rsidR="004974D4" w:rsidRPr="004974D4" w:rsidTr="004974D4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b/>
                <w:bCs/>
                <w:vanish/>
                <w:color w:val="666666"/>
                <w:sz w:val="24"/>
                <w:szCs w:val="24"/>
                <w:lang w:eastAsia="fr-FR"/>
              </w:rPr>
              <w:lastRenderedPageBreak/>
              <w:t>Ancillary data</w:t>
            </w:r>
            <w:r w:rsidRPr="004974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  <w:t xml:space="preserve"> Les données auxiliaires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  <w:t>GLWD, SRTM</w:t>
            </w:r>
            <w:r w:rsidRPr="00497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GLWD, SRTM </w:t>
            </w:r>
          </w:p>
        </w:tc>
      </w:tr>
      <w:tr w:rsidR="004974D4" w:rsidRPr="004974D4" w:rsidTr="004974D4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b/>
                <w:bCs/>
                <w:vanish/>
                <w:color w:val="666666"/>
                <w:sz w:val="24"/>
                <w:szCs w:val="24"/>
                <w:lang w:eastAsia="fr-FR"/>
              </w:rPr>
              <w:t>Archive available</w:t>
            </w:r>
            <w:r w:rsidRPr="004974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  <w:t xml:space="preserve"> Archive disponible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  <w:t>An archive from mid 1999 onwards</w:t>
            </w:r>
            <w:r w:rsidRPr="00497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Une archive </w:t>
            </w:r>
            <w:proofErr w:type="gramStart"/>
            <w:r w:rsidRPr="00497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la</w:t>
            </w:r>
            <w:proofErr w:type="gramEnd"/>
            <w:r w:rsidRPr="00497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mi à partir de 1999 </w:t>
            </w:r>
          </w:p>
        </w:tc>
      </w:tr>
      <w:tr w:rsidR="004974D4" w:rsidRPr="004974D4" w:rsidTr="004974D4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b/>
                <w:bCs/>
                <w:vanish/>
                <w:color w:val="666666"/>
                <w:sz w:val="24"/>
                <w:szCs w:val="24"/>
                <w:lang w:eastAsia="fr-FR"/>
              </w:rPr>
              <w:t>Size of Africa</w:t>
            </w:r>
            <w:r w:rsidRPr="004974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  <w:t xml:space="preserve"> Taille de l'Afrique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  <w:t>Approx.</w:t>
            </w:r>
            <w:r w:rsidRPr="00497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Env. </w:t>
            </w:r>
            <w:r w:rsidRPr="004974D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  <w:t>50 MB</w:t>
            </w:r>
            <w:r w:rsidRPr="00497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50 Mo </w:t>
            </w:r>
          </w:p>
        </w:tc>
      </w:tr>
      <w:tr w:rsidR="004974D4" w:rsidRPr="004974D4" w:rsidTr="004974D4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b/>
                <w:bCs/>
                <w:vanish/>
                <w:color w:val="666666"/>
                <w:sz w:val="24"/>
                <w:szCs w:val="24"/>
                <w:lang w:eastAsia="fr-FR"/>
              </w:rPr>
              <w:t>Coding</w:t>
            </w:r>
            <w:r w:rsidRPr="004974D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fr-FR"/>
              </w:rPr>
              <w:t xml:space="preserve"> Codage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4974D4" w:rsidRPr="004974D4" w:rsidRDefault="004974D4" w:rsidP="004974D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74D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  <w:t>16bits for dates products, 8bits for waterbodies products</w:t>
            </w:r>
            <w:r w:rsidRPr="00497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16bits pour les produits dates, 8bits pour les produits des plans d'eau </w:t>
            </w:r>
          </w:p>
        </w:tc>
      </w:tr>
    </w:tbl>
    <w:p w:rsidR="004974D4" w:rsidRPr="004974D4" w:rsidRDefault="004974D4" w:rsidP="0049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>Dates are accounted in number of dekads, the reference (dekad number 1) corresponds to the first decad of 1980.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dates sont </w:t>
      </w:r>
      <w:proofErr w:type="gramStart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comptabilisés</w:t>
      </w:r>
      <w:proofErr w:type="gramEnd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 nombre de décades, la référence (nombre décade 1) correspond à la première décade 1980. </w:t>
      </w:r>
    </w:p>
    <w:p w:rsidR="004974D4" w:rsidRPr="004974D4" w:rsidRDefault="004974D4" w:rsidP="0049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 xml:space="preserve">More information can be found on: </w:t>
      </w:r>
      <w:hyperlink r:id="rId5" w:tgtFrame="_new" w:history="1">
        <w:r w:rsidRPr="004974D4">
          <w:rPr>
            <w:rFonts w:ascii="Times New Roman" w:eastAsia="Times New Roman" w:hAnsi="Times New Roman" w:cs="Times New Roman"/>
            <w:vanish/>
            <w:color w:val="DDAA00"/>
            <w:sz w:val="24"/>
            <w:szCs w:val="24"/>
            <w:lang w:eastAsia="fr-FR"/>
          </w:rPr>
          <w:t>http://www.geosuccess.net</w:t>
        </w:r>
      </w:hyperlink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Plus d'informations peuvent être trouvées sur: </w:t>
      </w:r>
      <w:hyperlink r:id="rId6" w:tgtFrame="_new" w:history="1">
        <w:r w:rsidRPr="004974D4">
          <w:rPr>
            <w:rFonts w:ascii="Times New Roman" w:eastAsia="Times New Roman" w:hAnsi="Times New Roman" w:cs="Times New Roman"/>
            <w:color w:val="DDAA00"/>
            <w:sz w:val="24"/>
            <w:szCs w:val="24"/>
            <w:lang w:eastAsia="fr-FR"/>
          </w:rPr>
          <w:t>http://www.geosuccess.net</w:t>
        </w:r>
      </w:hyperlink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 xml:space="preserve">Historical Small Water Bodies can be downloaded after login on the </w:t>
      </w:r>
      <w:hyperlink r:id="rId7" w:history="1">
        <w:r w:rsidRPr="004974D4">
          <w:rPr>
            <w:rFonts w:ascii="Times New Roman" w:eastAsia="Times New Roman" w:hAnsi="Times New Roman" w:cs="Times New Roman"/>
            <w:vanish/>
            <w:color w:val="DDAA00"/>
            <w:sz w:val="24"/>
            <w:szCs w:val="24"/>
            <w:lang w:eastAsia="fr-FR"/>
          </w:rPr>
          <w:t>images tab</w:t>
        </w:r>
      </w:hyperlink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 xml:space="preserve"> .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Historique petits plans d'eau peut être téléchargé après connexion sur le </w:t>
      </w:r>
      <w:hyperlink r:id="rId8" w:history="1">
        <w:r w:rsidRPr="004974D4">
          <w:rPr>
            <w:rFonts w:ascii="Times New Roman" w:eastAsia="Times New Roman" w:hAnsi="Times New Roman" w:cs="Times New Roman"/>
            <w:color w:val="DDAA00"/>
            <w:sz w:val="24"/>
            <w:szCs w:val="24"/>
            <w:lang w:eastAsia="fr-FR"/>
          </w:rPr>
          <w:t>onglet images</w:t>
        </w:r>
      </w:hyperlink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 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 xml:space="preserve">More technical information can be found in the </w:t>
      </w:r>
      <w:hyperlink r:id="rId9" w:history="1">
        <w:r w:rsidRPr="004974D4">
          <w:rPr>
            <w:rFonts w:ascii="Times New Roman" w:eastAsia="Times New Roman" w:hAnsi="Times New Roman" w:cs="Times New Roman"/>
            <w:vanish/>
            <w:color w:val="DDAA00"/>
            <w:sz w:val="24"/>
            <w:szCs w:val="24"/>
            <w:lang w:eastAsia="fr-FR"/>
          </w:rPr>
          <w:t>Waterbodies Product sheet</w:t>
        </w:r>
      </w:hyperlink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 xml:space="preserve"> .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Plus d'informations techniques peuvent être trouvés dans la </w:t>
      </w:r>
      <w:hyperlink r:id="rId10" w:history="1">
        <w:r w:rsidRPr="004974D4">
          <w:rPr>
            <w:rFonts w:ascii="Times New Roman" w:eastAsia="Times New Roman" w:hAnsi="Times New Roman" w:cs="Times New Roman"/>
            <w:color w:val="DDAA00"/>
            <w:sz w:val="24"/>
            <w:szCs w:val="24"/>
            <w:lang w:eastAsia="fr-FR"/>
          </w:rPr>
          <w:t>fiche du produit des masses d'eau</w:t>
        </w:r>
      </w:hyperlink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 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 xml:space="preserve">Information on Global Lakes and Wetlands Database GLWD can be found on: </w:t>
      </w:r>
      <w:hyperlink r:id="rId11" w:tgtFrame="_new" w:history="1">
        <w:r w:rsidRPr="004974D4">
          <w:rPr>
            <w:rFonts w:ascii="Times New Roman" w:eastAsia="Times New Roman" w:hAnsi="Times New Roman" w:cs="Times New Roman"/>
            <w:vanish/>
            <w:color w:val="DDAA00"/>
            <w:sz w:val="24"/>
            <w:szCs w:val="24"/>
            <w:lang w:eastAsia="fr-FR"/>
          </w:rPr>
          <w:t>http://www.wwfus.org/science/data.cfm</w:t>
        </w:r>
      </w:hyperlink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Information sur les lacs et zones humides Global </w:t>
      </w:r>
      <w:proofErr w:type="spellStart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Database</w:t>
      </w:r>
      <w:proofErr w:type="spellEnd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GLWD peuvent être trouvées sur: </w:t>
      </w:r>
      <w:hyperlink r:id="rId12" w:tgtFrame="_new" w:history="1">
        <w:r w:rsidRPr="004974D4">
          <w:rPr>
            <w:rFonts w:ascii="Times New Roman" w:eastAsia="Times New Roman" w:hAnsi="Times New Roman" w:cs="Times New Roman"/>
            <w:color w:val="DDAA00"/>
            <w:sz w:val="24"/>
            <w:szCs w:val="24"/>
            <w:lang w:eastAsia="fr-FR"/>
          </w:rPr>
          <w:t>http://www.wwfus.org/science/data.cfm</w:t>
        </w:r>
      </w:hyperlink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 xml:space="preserve">Information on Drainage from DCW or equivalent can be found on: </w:t>
      </w:r>
      <w:hyperlink r:id="rId13" w:tgtFrame="_new" w:history="1">
        <w:r w:rsidRPr="004974D4">
          <w:rPr>
            <w:rFonts w:ascii="Times New Roman" w:eastAsia="Times New Roman" w:hAnsi="Times New Roman" w:cs="Times New Roman"/>
            <w:vanish/>
            <w:color w:val="DDAA00"/>
            <w:sz w:val="24"/>
            <w:szCs w:val="24"/>
            <w:lang w:eastAsia="fr-FR"/>
          </w:rPr>
          <w:t>http://www.maproom.psu.edu/dcw/dcw_about.shtml</w:t>
        </w:r>
      </w:hyperlink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Information sur le drainage du SCF ou l'équivalent peut être consultée sur: </w:t>
      </w:r>
      <w:hyperlink r:id="rId14" w:tgtFrame="_new" w:history="1">
        <w:r w:rsidRPr="004974D4">
          <w:rPr>
            <w:rFonts w:ascii="Times New Roman" w:eastAsia="Times New Roman" w:hAnsi="Times New Roman" w:cs="Times New Roman"/>
            <w:color w:val="DDAA00"/>
            <w:sz w:val="24"/>
            <w:szCs w:val="24"/>
            <w:lang w:eastAsia="fr-FR"/>
          </w:rPr>
          <w:t>http://www.maproom.psu.edu/dcw/dcw_about.shtml</w:t>
        </w:r>
      </w:hyperlink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974D4" w:rsidRPr="004974D4" w:rsidRDefault="004974D4" w:rsidP="0049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74D4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fr-FR"/>
        </w:rPr>
        <w:t>References :</w:t>
      </w: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 xml:space="preserve"> [Gond 2004] Gond V., Bartholomé E., Ouattara F., Nonguierma A. and Bado I, 2004, « Surveillance et cartographie des plans d'eau et des zones humides et inondables en régions arides avec l'instrument VEGETATION embarque sur Spot 4 », international Journal of Remote Sensing, 25,5,987-1004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7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Références: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[Gond 2004] V. Gond, Bartholomé E., Ouattara F., A. et je </w:t>
      </w:r>
      <w:proofErr w:type="spellStart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Nonguierma</w:t>
      </w:r>
      <w:proofErr w:type="spellEnd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Bado</w:t>
      </w:r>
      <w:proofErr w:type="spellEnd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2004, «Surveillance et cartographie des plans d'eau et des zones inondables et des Humides en régions AVEC l'instrument VEGETATION Arides Embarque sur Spot 4 », International Journal of </w:t>
      </w:r>
      <w:proofErr w:type="spellStart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Remote</w:t>
      </w:r>
      <w:proofErr w:type="spellEnd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Sensing</w:t>
      </w:r>
      <w:proofErr w:type="spellEnd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25,5,987-1004 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4974D4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  <w:t>Lehner B. and Doll P., 2004,« Development and validation of a global database of lakes, reservoirs and wetlands”, Journal of hydrology, 296, 1-22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Lehner</w:t>
      </w:r>
      <w:proofErr w:type="spellEnd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B. et P. </w:t>
      </w:r>
      <w:proofErr w:type="spellStart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Doll</w:t>
      </w:r>
      <w:proofErr w:type="spellEnd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2004, «Développement et validation d'une base de données mondiale des lacs, réservoirs et milieux humides», Journal of </w:t>
      </w:r>
      <w:proofErr w:type="spellStart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Hydrology</w:t>
      </w:r>
      <w:proofErr w:type="spellEnd"/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296, 1-22 </w:t>
      </w:r>
    </w:p>
    <w:p w:rsidR="004974D4" w:rsidRPr="004974D4" w:rsidRDefault="004974D4" w:rsidP="0049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74D4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fr-FR"/>
        </w:rPr>
        <w:t>More information can be found on: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7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Plus d'informations peuvent être trouvées sur: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hyperlink r:id="rId15" w:tgtFrame="_new" w:history="1">
        <w:r w:rsidRPr="004974D4">
          <w:rPr>
            <w:rFonts w:ascii="Times New Roman" w:eastAsia="Times New Roman" w:hAnsi="Times New Roman" w:cs="Times New Roman"/>
            <w:vanish/>
            <w:color w:val="DDAA00"/>
            <w:sz w:val="24"/>
            <w:szCs w:val="24"/>
            <w:lang w:eastAsia="fr-FR"/>
          </w:rPr>
          <w:t>http://www.spot-vegetation.com</w:t>
        </w:r>
      </w:hyperlink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16" w:tgtFrame="_new" w:history="1">
        <w:r w:rsidRPr="004974D4">
          <w:rPr>
            <w:rFonts w:ascii="Times New Roman" w:eastAsia="Times New Roman" w:hAnsi="Times New Roman" w:cs="Times New Roman"/>
            <w:color w:val="DDAA00"/>
            <w:sz w:val="24"/>
            <w:szCs w:val="24"/>
            <w:lang w:eastAsia="fr-FR"/>
          </w:rPr>
          <w:t>http://www.spot-vegetation.com</w:t>
        </w:r>
      </w:hyperlink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hyperlink r:id="rId17" w:tgtFrame="_new" w:history="1">
        <w:r w:rsidRPr="004974D4">
          <w:rPr>
            <w:rFonts w:ascii="Times New Roman" w:eastAsia="Times New Roman" w:hAnsi="Times New Roman" w:cs="Times New Roman"/>
            <w:vanish/>
            <w:color w:val="DDAA00"/>
            <w:sz w:val="24"/>
            <w:szCs w:val="24"/>
            <w:lang w:eastAsia="fr-FR"/>
          </w:rPr>
          <w:t>http://www.vgt.vito.be</w:t>
        </w:r>
      </w:hyperlink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18" w:tgtFrame="_new" w:history="1">
        <w:r w:rsidRPr="004974D4">
          <w:rPr>
            <w:rFonts w:ascii="Times New Roman" w:eastAsia="Times New Roman" w:hAnsi="Times New Roman" w:cs="Times New Roman"/>
            <w:color w:val="DDAA00"/>
            <w:sz w:val="24"/>
            <w:szCs w:val="24"/>
            <w:lang w:eastAsia="fr-FR"/>
          </w:rPr>
          <w:t>http://www.vgt.vito.be</w:t>
        </w:r>
      </w:hyperlink>
      <w:r w:rsidRPr="00497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974D4" w:rsidRPr="004974D4" w:rsidRDefault="004974D4" w:rsidP="004974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18"/>
          <w:szCs w:val="18"/>
          <w:lang w:eastAsia="fr-FR"/>
        </w:rPr>
      </w:pPr>
      <w:r w:rsidRPr="004974D4">
        <w:rPr>
          <w:rFonts w:ascii="Times New Roman" w:eastAsia="Times New Roman" w:hAnsi="Times New Roman" w:cs="Times New Roman"/>
          <w:vanish/>
          <w:color w:val="666666"/>
          <w:sz w:val="18"/>
          <w:lang w:eastAsia="fr-FR"/>
        </w:rPr>
        <w:t>Last update: September 25, 2010</w:t>
      </w:r>
      <w:r w:rsidRPr="004974D4">
        <w:rPr>
          <w:rFonts w:ascii="Times New Roman" w:eastAsia="Times New Roman" w:hAnsi="Times New Roman" w:cs="Times New Roman"/>
          <w:color w:val="666666"/>
          <w:sz w:val="18"/>
          <w:szCs w:val="18"/>
          <w:lang w:eastAsia="fr-FR"/>
        </w:rPr>
        <w:t xml:space="preserve"> </w:t>
      </w:r>
      <w:proofErr w:type="spellStart"/>
      <w:r w:rsidRPr="004974D4">
        <w:rPr>
          <w:rFonts w:ascii="Times New Roman" w:eastAsia="Times New Roman" w:hAnsi="Times New Roman" w:cs="Times New Roman"/>
          <w:color w:val="666666"/>
          <w:sz w:val="18"/>
          <w:szCs w:val="18"/>
          <w:lang w:eastAsia="fr-FR"/>
        </w:rPr>
        <w:t>Dern</w:t>
      </w:r>
      <w:proofErr w:type="spellEnd"/>
    </w:p>
    <w:p w:rsidR="002B6F88" w:rsidRDefault="002B6F88"/>
    <w:sectPr w:rsidR="002B6F88" w:rsidSect="002B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342"/>
    <w:multiLevelType w:val="multilevel"/>
    <w:tmpl w:val="C9A6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4974D4"/>
    <w:rsid w:val="002B6F88"/>
    <w:rsid w:val="0049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974D4"/>
    <w:rPr>
      <w:strike w:val="0"/>
      <w:dstrike w:val="0"/>
      <w:color w:val="DDAA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9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oogle-src-text1">
    <w:name w:val="google-src-text1"/>
    <w:basedOn w:val="Policepardfaut"/>
    <w:rsid w:val="004974D4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0413">
          <w:marLeft w:val="3503"/>
          <w:marRight w:val="3503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808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8" w:space="5" w:color="66666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fr&amp;sl=en&amp;u=http://www.vgt4africa.org/user/images/Form.do&amp;prev=/search%3Fq%3D%2522small%2Bwater%2Bbodies%2522%26hl%3Dfr%26sa%3DG%26rlz%3D1T4GGLR_frMR393MR393%26prmd%3Divns&amp;rurl=translate.google.fr&amp;usg=ALkJrhheVeKXOz4vkGWrcG6dm3N4xMd5AQ" TargetMode="External"/><Relationship Id="rId13" Type="http://schemas.openxmlformats.org/officeDocument/2006/relationships/hyperlink" Target="http://translate.googleusercontent.com/translate_c?hl=fr&amp;sl=en&amp;u=http://www.maproom.psu.edu/dcw/dcw_about.shtml&amp;prev=/search%3Fq%3D%2522small%2Bwater%2Bbodies%2522%26hl%3Dfr%26sa%3DG%26rlz%3D1T4GGLR_frMR393MR393%26prmd%3Divns&amp;rurl=translate.google.fr&amp;usg=ALkJrhjsv43_oHPxh-TxLC_miUAvPxbskQ" TargetMode="External"/><Relationship Id="rId18" Type="http://schemas.openxmlformats.org/officeDocument/2006/relationships/hyperlink" Target="http://translate.googleusercontent.com/translate_c?hl=fr&amp;sl=en&amp;u=http://www.vgt.vito.be/&amp;prev=/search%3Fq%3D%2522small%2Bwater%2Bbodies%2522%26hl%3Dfr%26sa%3DG%26rlz%3D1T4GGLR_frMR393MR393%26prmd%3Divns&amp;rurl=translate.google.fr&amp;usg=ALkJrhgmLHbgLuG_s1DxIW5mWXtmeXEV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nslate.googleusercontent.com/translate_c?hl=fr&amp;sl=en&amp;u=http://www.vgt4africa.org/user/images/Form.do&amp;prev=/search%3Fq%3D%2522small%2Bwater%2Bbodies%2522%26hl%3Dfr%26sa%3DG%26rlz%3D1T4GGLR_frMR393MR393%26prmd%3Divns&amp;rurl=translate.google.fr&amp;usg=ALkJrhheVeKXOz4vkGWrcG6dm3N4xMd5AQ" TargetMode="External"/><Relationship Id="rId12" Type="http://schemas.openxmlformats.org/officeDocument/2006/relationships/hyperlink" Target="http://translate.googleusercontent.com/translate_c?hl=fr&amp;sl=en&amp;u=http://www.wwfus.org/science/data.cfm&amp;prev=/search%3Fq%3D%2522small%2Bwater%2Bbodies%2522%26hl%3Dfr%26sa%3DG%26rlz%3D1T4GGLR_frMR393MR393%26prmd%3Divns&amp;rurl=translate.google.fr&amp;usg=ALkJrhg7RSUPwBuZmLciSMOi8ybAusMe8Q" TargetMode="External"/><Relationship Id="rId17" Type="http://schemas.openxmlformats.org/officeDocument/2006/relationships/hyperlink" Target="http://translate.googleusercontent.com/translate_c?hl=fr&amp;sl=en&amp;u=http://www.vgt.vito.be/&amp;prev=/search%3Fq%3D%2522small%2Bwater%2Bbodies%2522%26hl%3Dfr%26sa%3DG%26rlz%3D1T4GGLR_frMR393MR393%26prmd%3Divns&amp;rurl=translate.google.fr&amp;usg=ALkJrhgmLHbgLuG_s1DxIW5mWXtmeXEVt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fr&amp;sl=en&amp;u=http://www.spot-vegetation.com/&amp;prev=/search%3Fq%3D%2522small%2Bwater%2Bbodies%2522%26hl%3Dfr%26sa%3DG%26rlz%3D1T4GGLR_frMR393MR393%26prmd%3Divns&amp;rurl=translate.google.fr&amp;usg=ALkJrhh_gFzgZqdD9W78k6LevUcOeAkSb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ranslate.googleusercontent.com/translate_c?hl=fr&amp;sl=en&amp;u=http://www.geosuccess.net/&amp;prev=/search%3Fq%3D%2522small%2Bwater%2Bbodies%2522%26hl%3Dfr%26sa%3DG%26rlz%3D1T4GGLR_frMR393MR393%26prmd%3Divns&amp;rurl=translate.google.fr&amp;usg=ALkJrhh4bn5DZok-d1G5bhFdEdhksf1y3Q" TargetMode="External"/><Relationship Id="rId11" Type="http://schemas.openxmlformats.org/officeDocument/2006/relationships/hyperlink" Target="http://translate.googleusercontent.com/translate_c?hl=fr&amp;sl=en&amp;u=http://www.wwfus.org/science/data.cfm&amp;prev=/search%3Fq%3D%2522small%2Bwater%2Bbodies%2522%26hl%3Dfr%26sa%3DG%26rlz%3D1T4GGLR_frMR393MR393%26prmd%3Divns&amp;rurl=translate.google.fr&amp;usg=ALkJrhg7RSUPwBuZmLciSMOi8ybAusMe8Q" TargetMode="External"/><Relationship Id="rId5" Type="http://schemas.openxmlformats.org/officeDocument/2006/relationships/hyperlink" Target="http://translate.googleusercontent.com/translate_c?hl=fr&amp;sl=en&amp;u=http://www.geosuccess.net/&amp;prev=/search%3Fq%3D%2522small%2Bwater%2Bbodies%2522%26hl%3Dfr%26sa%3DG%26rlz%3D1T4GGLR_frMR393MR393%26prmd%3Divns&amp;rurl=translate.google.fr&amp;usg=ALkJrhh4bn5DZok-d1G5bhFdEdhksf1y3Q" TargetMode="External"/><Relationship Id="rId15" Type="http://schemas.openxmlformats.org/officeDocument/2006/relationships/hyperlink" Target="http://translate.googleusercontent.com/translate_c?hl=fr&amp;sl=en&amp;u=http://www.spot-vegetation.com/&amp;prev=/search%3Fq%3D%2522small%2Bwater%2Bbodies%2522%26hl%3Dfr%26sa%3DG%26rlz%3D1T4GGLR_frMR393MR393%26prmd%3Divns&amp;rurl=translate.google.fr&amp;usg=ALkJrhh_gFzgZqdD9W78k6LevUcOeAkSbA" TargetMode="External"/><Relationship Id="rId10" Type="http://schemas.openxmlformats.org/officeDocument/2006/relationships/hyperlink" Target="http://translate.googleusercontent.com/translate_c?hl=fr&amp;sl=en&amp;u=http://www.vgt4africa.org/PublicDocuments/Water-Bodies-Product-Sheet.pdf&amp;prev=/search%3Fq%3D%2522small%2Bwater%2Bbodies%2522%26hl%3Dfr%26sa%3DG%26rlz%3D1T4GGLR_frMR393MR393%26prmd%3Divns&amp;rurl=translate.google.fr&amp;usg=ALkJrhjWWKijP1D8ZDGRGv-3dNlO01RYs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fr&amp;sl=en&amp;u=http://www.vgt4africa.org/PublicDocuments/Water-Bodies-Product-Sheet.pdf&amp;prev=/search%3Fq%3D%2522small%2Bwater%2Bbodies%2522%26hl%3Dfr%26sa%3DG%26rlz%3D1T4GGLR_frMR393MR393%26prmd%3Divns&amp;rurl=translate.google.fr&amp;usg=ALkJrhjWWKijP1D8ZDGRGv-3dNlO01RYsw" TargetMode="External"/><Relationship Id="rId14" Type="http://schemas.openxmlformats.org/officeDocument/2006/relationships/hyperlink" Target="http://translate.googleusercontent.com/translate_c?hl=fr&amp;sl=en&amp;u=http://www.maproom.psu.edu/dcw/dcw_about.shtml&amp;prev=/search%3Fq%3D%2522small%2Bwater%2Bbodies%2522%26hl%3Dfr%26sa%3DG%26rlz%3D1T4GGLR_frMR393MR393%26prmd%3Divns&amp;rurl=translate.google.fr&amp;usg=ALkJrhjsv43_oHPxh-TxLC_miUAvPxbsk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1575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2011-01-17T11:04:00Z</cp:lastPrinted>
  <dcterms:created xsi:type="dcterms:W3CDTF">2011-01-17T11:04:00Z</dcterms:created>
  <dcterms:modified xsi:type="dcterms:W3CDTF">2011-01-17T11:06:00Z</dcterms:modified>
</cp:coreProperties>
</file>